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laws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 public safety.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 vigilantes.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serve as a mechanism for conflict resolution.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amendment to the U.S. Constitution safeguards us against self-incrimination?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Fifth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Edward Rosenheimer was charged with a hit-and-run accident, but he claimed that the law requiring him to report the accident to the police was unconstitutional because it forced him to incriminate himself, violating the U.S. Constitution’s Fifth Amendment. This case eventually came before the New York Court of Appeals; what was this court’s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Rosenheimer was released from custody because the law forcing him to incriminate himself was said by this court to be unconstitutional.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Rosenheimer was released from custody because the Court of General Sessions in New York State said that the hit-and-run regulation should be removed from the books.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New York Court of Appeals concluded that the right to avoid self-incrimination did not outweigh the right of injured persons to seek redress for their sufferings.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New York Court of Appeals concluded that the right of injured persons to seek redress for their sufferings did not outweigh the right to avoid self-incrimination.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researcher who researches rape in different types of societies and its relationship to the amount of male dominance in these societies is concerned with which approach to the study of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Philosophical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If a researcher is studying the role that social class plays in criminal behavior in a particular society, that researcher is most likely a (n)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anthropologist.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philosopher.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Psychology assumes that individual characteristics affect how the legal system operates and in turn the legal system affects individual characteristics and behavior. </w:t>
            </w:r>
            <w:r>
              <w:rPr>
                <w:rStyle w:val="DefaultParagraphFont"/>
                <w:rFonts w:ascii="Times New Roman" w:eastAsia="Times New Roman" w:hAnsi="Times New Roman" w:cs="Times New Roman"/>
                <w:b w:val="0"/>
                <w:bCs w:val="0"/>
                <w:i/>
                <w:iCs/>
                <w:smallCaps w:val="0"/>
                <w:color w:val="000000"/>
                <w:sz w:val="22"/>
                <w:szCs w:val="22"/>
                <w:bdr w:val="nil"/>
                <w:rtl w:val="0"/>
              </w:rPr>
              <w:t>Characteristics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may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Most forensic psychologists are trained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lawyers.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Kurt Lewin, what influences the behavior of an individual in the legal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One’s personal qualities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One’s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influences behavior can never be ascertained as behavior is too complex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an activity that a forensic psychologist would most likely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4"/>
              <w:gridCol w:w="8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Evaluate whether a defendant was sane at the time the crime was committed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if the DNA from the defendant matches the DNA collected at the crime scene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Investigate the role that social class plays in criminal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 a mock trial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is perhaps the most individualistic society where people can deviate from the norm or make their own choices to a greater degree. The two deeply desired values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sets of rights and two sets of laws are in agreement.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freedom and personal autonomy.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freedom with limited legal implications.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In 2017, a law known as the “show me your papers law” was passed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Baltimore.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Florida.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York.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Most of the Supreme Court decisions that provided more explicit rights for suspects and defendants occurred during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more recent cases, the Supreme Court has ruled in favor of law enforcement as opposed to individuals suspected of breaking the law. For example, in </w:t>
            </w:r>
            <w:r>
              <w:rPr>
                <w:rStyle w:val="DefaultParagraphFont"/>
                <w:rFonts w:ascii="Times New Roman" w:eastAsia="Times New Roman" w:hAnsi="Times New Roman" w:cs="Times New Roman"/>
                <w:b w:val="0"/>
                <w:bCs w:val="0"/>
                <w:i/>
                <w:iCs/>
                <w:smallCaps w:val="0"/>
                <w:color w:val="000000"/>
                <w:sz w:val="22"/>
                <w:szCs w:val="22"/>
                <w:bdr w:val="nil"/>
                <w:rtl w:val="0"/>
              </w:rPr>
              <w:t>Florence v. Board of Chosen Freeholders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the Court ruled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police can stop a motorist whom they believe has violated traffic laws even if their ulterior motive is to investigate the possibility of drug dealing.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jail officials can strip search petty offenders even when there is no suspicion of carrying a weapon or contraband.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police no longer have to provide </w:t>
                  </w:r>
                  <w:r>
                    <w:rPr>
                      <w:rStyle w:val="DefaultParagraphFont"/>
                      <w:rFonts w:ascii="Times New Roman" w:eastAsia="Times New Roman" w:hAnsi="Times New Roman" w:cs="Times New Roman"/>
                      <w:b w:val="0"/>
                      <w:bCs w:val="0"/>
                      <w:i/>
                      <w:iCs/>
                      <w:smallCaps w:val="0"/>
                      <w:color w:val="000000"/>
                      <w:sz w:val="22"/>
                      <w:szCs w:val="22"/>
                      <w:bdr w:val="nil"/>
                      <w:rtl w:val="0"/>
                    </w:rPr>
                    <w:t>Miranda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warnings in custodial situations if certain exceptions are met.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In contrast to the crime control model, the due process model would subscribe to which of the following statements?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police are chasing a man, he must have committed a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better for many guilty persons to go free than to convict one innocent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It is detrimental to society to require police to inform suspects of their </w:t>
                  </w:r>
                  <w:r>
                    <w:rPr>
                      <w:rStyle w:val="DefaultParagraphFont"/>
                      <w:rFonts w:ascii="Times New Roman" w:eastAsia="Times New Roman" w:hAnsi="Times New Roman" w:cs="Times New Roman"/>
                      <w:b w:val="0"/>
                      <w:bCs w:val="0"/>
                      <w:i/>
                      <w:iCs/>
                      <w:smallCaps w:val="0"/>
                      <w:color w:val="000000"/>
                      <w:sz w:val="22"/>
                      <w:szCs w:val="22"/>
                      <w:bdr w:val="nil"/>
                      <w:rtl w:val="0"/>
                    </w:rPr>
                    <w:t>Miranda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“three-strikes” law is in place to protect society from dangerous criminals.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basic characteristic of the crime control model of the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system should present obstacles to the conviction of defendants.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suspect is assumed to be innocent.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Emphasis in the courts should be for efficient detection and prosecution of criminals.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Greater control needs to be exerted over the police in their investigation of suspects.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Due to the recession between 2007 and 2009, the federal and state budgets tightened, forcing reevaluation of “tough on crime policies” leading to alternative programs to reduce repeat offence. These alternatives have included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diversionary, community-based treatment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 and re-entry programs for inmates.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substance abuse and mental health treatment programs for inmates.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Amendment to the U.S. Constitution protects freedom of speech including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fighting words.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perjury.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racially offensive speech.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obscenities.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has 4% of the world’s population and ________ of its prisoners.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principle of equality is often at odds with the value of ______________ when it comes to implementing laws and punishing offenders.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leniency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One might argue that the stop and frisk procedures used in New York City violate the principle of equality and rely on profiling, as 52% of stops between 2004 and 2012 were of __________________ and 31% were of 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Americans; Caucasians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Hispanics; Caucasians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Americans; Caucasians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Americans; Hispanics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practices most clearly violates the principle of equality?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Racial profiling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Proportionate sentencing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Determinate sentencing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resolution of a choice does determinate sentencing reflect?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rather than discretion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 rather than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good, rather than individual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rights, rather than common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principle of proportionality reflects the idea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should be the same proportion of jurors sympathetic to the prosecution as to the defense.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defendant’s punishment should be related to the magnitude of the offense.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repeat offenders should receive extensive 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defendant who commits a relatively minor crime should receive a harsh punishment if the defendant is a habitual offender.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Despite the principle of equality, discretion is often displayed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prosecutors.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police officers.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Commuting a death sentence to life imprisonment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settlement negotiation.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clemency.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reversal.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redemption.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Troy Davis was convicted of murdering a police officer and faced execution in Georgia. In an effort to save Davis, the Georgia Board of Pardons and Parole was presented with a ____________ petition to commute Davis’ sentence to life in prison.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settlement negotiation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clemency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reversal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redemption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tendency of different judges to administer a variety of penalties for the same crime is referred to as ________; to counteract this, many states have implemented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biased sentencing; certain sentencing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inequality in sentencing; mandatory sentencing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sentencing disparity; determinate sentencing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discretionary sentencing; strict sentencing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does determinate sentencing accomplish?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Sentencing disparity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John, the plaintiff in a civil trial, sued his employer for wrongful termination. Now that the trial is over, John is pleased that he had a chance to have his voice heard and feels he was treated fairly by the system. He sees the outcome as just even though the outcome was not in his favor. According to Chapter 1, this perception of the fairness of the procedures is an important component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fairness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plaintiff’s revenge.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 Bar Association’s ethical standard of practice.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percentage of defendants plea bargain?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90–95%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possible benefit of plea bargaining?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Reduced trial costs and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efficiency in the criminal justice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Reduced sentences and sanctions for defendants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In civil cases, what procedure parallels plea bargaining?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Damages negotiation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Settlement negotiation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Plaintiff/defendant agreement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Conflict resolution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iCs/>
                <w:smallCaps w:val="0"/>
                <w:color w:val="000000"/>
                <w:sz w:val="22"/>
                <w:szCs w:val="22"/>
                <w:bdr w:val="nil"/>
                <w:rtl w:val="0"/>
              </w:rPr>
              <w:t>Amicus curiae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let the decision stand.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sentence should be equivalent to the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friend of the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rights of defendants.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faced with making legal decisions, judges are reluctant to make decisions that contradict earlier judicial decisions. This propensity is an example of the principle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determinant sentencing.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a train trip in Louisiana in the 1890s, Homer Plessy wanted to sit in a “whites only” railroad car, but because of his ancestry (he had a black great-grandparent), he was not allowed, by law, to sit in this car. He took his claim to court; the U.S. Supreme Court eventually ruled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have been allowed to sit anywhere he wanted.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statute that segregated railroad cars by race did not fail to give Plessy equal protection under the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statute that segregated railroad cars by race failed to give Plessy equal protection under the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correct (this case never went to the Supreme Court).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George McLaurin was the first black student admitted to the University of Oklahoma’s graduate school of education. After enrolling in the program, McLaurin was segregated from his classmates. In </w:t>
            </w:r>
            <w:r>
              <w:rPr>
                <w:rStyle w:val="DefaultParagraphFont"/>
                <w:rFonts w:ascii="Times New Roman" w:eastAsia="Times New Roman" w:hAnsi="Times New Roman" w:cs="Times New Roman"/>
                <w:b w:val="0"/>
                <w:bCs w:val="0"/>
                <w:i/>
                <w:iCs/>
                <w:smallCaps w:val="0"/>
                <w:color w:val="000000"/>
                <w:sz w:val="22"/>
                <w:szCs w:val="22"/>
                <w:bdr w:val="nil"/>
                <w:rtl w:val="0"/>
              </w:rPr>
              <w:t>McLaurin v. Oklahoma State Regents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(1950), the Supreme Court concluded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McLaurin should not have been admitted to the graduate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McLaurin’s rights as a student were not violated by the segregation.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restrictions set up by the University of Oklahoma impaired and inhibited McLaurin’s ability to study, discuss, and exchange views with other students.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restrictions set up by the University of Oklahoma did not impair nor inhibit McLaurin’s ability to study, discuss, or exchange views with other students.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Whereas lawyers are typically adversarial and engage in “either-or” thinking, psychologists are expected to be _______________ and think more in terms of 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absolutes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probabilities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objective; absolutes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objective; probabilities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Tatiana Tarasoff was killed by Prosenjit Poddar, a graduate student at the University of California. Tatiana’s parents sued and the case was heard by the Supreme Court of California. The </w:t>
            </w:r>
            <w:r>
              <w:rPr>
                <w:rStyle w:val="DefaultParagraphFont"/>
                <w:rFonts w:ascii="Times New Roman" w:eastAsia="Times New Roman" w:hAnsi="Times New Roman" w:cs="Times New Roman"/>
                <w:b w:val="0"/>
                <w:bCs w:val="0"/>
                <w:i/>
                <w:iCs/>
                <w:smallCaps w:val="0"/>
                <w:color w:val="000000"/>
                <w:sz w:val="22"/>
                <w:szCs w:val="22"/>
                <w:bdr w:val="nil"/>
                <w:rtl w:val="0"/>
              </w:rPr>
              <w:t>Tarasoff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case is important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gave a legal definition of “dangerousness.”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clarified the tax-exempt status of racially segregated colleges.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concluded that psychologists could assist in jury selection if they provided their questionnaire responses to the other 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specified that psychotherapists have a duty to use reasonable care to protect identifiable, potential victims from clients in psychotherapy who threaten violence.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 basic scientist’s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done simply for the joy of understanding.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not intended to be 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applied to the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Two psychologists separately do research on whether pornography causes men to attack women. The first, Dr. A, is interested in testing his theory of arousal and its effects on aggressive behavior. He has no interest in reducing violence rates in the real world. In contrast, Dr. B does her research because she wants to reduce the number of incidents in which women are victims of violent men. Based on this information,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Drs. A and B are applied scientists.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Drs. A and B are basic scientists.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A is a basic scientist; Dr. B is an applied 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 A is an applied scientist; Dr. B is a basic scientist.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person to testify as an expert witness,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or she must have had formal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sides in the trial must agree to allow the testimony.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judge must agree to admit the testimony.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expert witness must have examined or tested the defendant.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expert witness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hired by one side but is supposed to remain impartial.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hired by one side and is supposed to support that side, and only that 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legally considered an advocate when hired by one 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allowed to be paid for their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Daubert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decision listed four factors that judges should consider in assessing the validity and subsequent admissibility of the expert’s testimony. Which of the following is not one of these four factors?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the expert’s theory or technique can and has been tested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strength of the argument for the pertinent 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the expert’s theory or technique has been evaluated by peer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extent to which the expert’s technique and claims have been generally accepted by the relevant scientific community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decisions led to judges acting as gatekeepers who evaluate potential expert testimony using the standards of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Blakely v. Washington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(2003)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Ewing v. California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(2003)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Daubert v. Merrell Dow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(1993)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United States v. Booker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(2005)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psychologist is asked to determine if Project New Chance, a program to help welfare recipients obtain and keep employment, has achieved its goals. How would we best label this psychologist’s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 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Pure 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evaluator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Advocate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police department decides to develop “community watch” groups in some neighborhoods in order to reduce the crime rate. A psychologist is called in to assist the police department in designing and critiquing this innovation. How would we best label this psychologist’s role?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evaluator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Advocate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 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Pure scientist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an activity conducted by a trial consultant?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 community attitude surveys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witnesses to testify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Advise lawyers on their presentation strategies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Trial consultants who are members of the American Society of Trial Consultants must adhere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Practice guidelines developed by that organization (ASTC, 2017).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Code of Ethical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justifications given by trial consultants for their methods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work for the underprivileged.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they’re not radically different from that of politicians.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jury members are informed of their recommendations.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Miranda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rule of 1966 guarantees the right to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 silent when being arrested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and bear arms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 of the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express a thought of hate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two values were in conflict in the “Unite the Right” Rally in Charlottesville, Virginia, 2017?</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6"/>
              <w:gridCol w:w="8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to freedom of expression and right to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to free expression of speech and right of protection from hate speech for a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to free speech and right to bear arms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to equality and right to free speech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case of flamboyant hedge fund manager and pharmaceutical executive Martin Shkreli, who was convicted in 2017 of defrauding his investors to cover up massive stock losses and then jailed after a Facebook post offering $5,000 for a strand of Hillary Clinton’s hair, is a classic example of __________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to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to discretion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to free speech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to privacy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To keep up equality, the U.S. Supreme Court has occasionally applied the principle of _______ to its analysis of cases involving criminal sentencing?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nondiscrimination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stare decisis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Who are imprisoned at rates five to seven times higher than White Americans due to racial bias in arrests for drug crimes?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Hispanics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Caucasian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Native Indians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was implemented to counteract racial biasing while making arrests?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determinate sentencing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presumptive sentencing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indeterminate sentencing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sentencing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agreement between the National Football League (NFL) and thousands of former players who suffered concussive injuries on the gridiron is an example of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determinate sentencing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settlement negotiation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damage payments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research, _______________ advances settlement negotiations and reduces the plaintiffs’ inclinations to 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settlement negotiation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damage payment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1896 case of </w:t>
            </w:r>
            <w:r>
              <w:rPr>
                <w:rStyle w:val="DefaultParagraphFont"/>
                <w:rFonts w:ascii="Times New Roman" w:eastAsia="Times New Roman" w:hAnsi="Times New Roman" w:cs="Times New Roman"/>
                <w:b w:val="0"/>
                <w:bCs w:val="0"/>
                <w:i/>
                <w:iCs/>
                <w:smallCaps w:val="0"/>
                <w:color w:val="000000"/>
                <w:sz w:val="22"/>
                <w:szCs w:val="22"/>
                <w:bdr w:val="nil"/>
                <w:rtl w:val="0"/>
              </w:rPr>
              <w:t>Plessy v. Ferguson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clear example of a case of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determinate sentencing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racial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presumptive sentencing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that the law is a social force with consequences for people’s well-being, this approach is termed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amicus curiae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brief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therapeutic jurisprudence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presumptive sentencing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case of Tatiana Tarasoff dictates that psychotherapists__________.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offer protection to third parties from patient violence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warn the victims of therapy patients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maintain doctor–patient 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mental health professionals become involved in litigation as a forensic evaluator?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appointed by the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hired by the attorney.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hired by the consultant.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Code of Ethical Principles, Professional Standards, and Practice Guidelines developed by the American Society of Trial Consultants organization (ASTC, 2017) dictates guidelines for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trial consultants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plaintiff attorneys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Specialty Guidelines for Forensic Psychologists (APA, 2013) and the Guidelines for Child Custody Evaluations in Family Law Proceedings (APA, 2010) both affect the practice of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evaluators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plaintiff attorneys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media devoted extensive coverage to the use of ______ in the celebrity-status trials of Martha Stewart and O. J. Simpson.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clinical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cognitive psychologists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trial consultants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evaluators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Laws regulating the areas in which people may smoke cigarettes illustrate the conflict between individual rights and public safety.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Troy Davis was granted clemency.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In recent years judges have been allowed to use more discretion in sentencing.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Jay has recently told his therapist that he is planning to kill his stepmother. According to the </w:t>
            </w:r>
            <w:r>
              <w:rPr>
                <w:rStyle w:val="DefaultParagraphFont"/>
                <w:rFonts w:ascii="Times New Roman" w:eastAsia="Times New Roman" w:hAnsi="Times New Roman" w:cs="Times New Roman"/>
                <w:b w:val="0"/>
                <w:bCs w:val="0"/>
                <w:i/>
                <w:iCs/>
                <w:smallCaps w:val="0"/>
                <w:color w:val="000000"/>
                <w:sz w:val="22"/>
                <w:szCs w:val="22"/>
                <w:bdr w:val="nil"/>
                <w:rtl w:val="0"/>
              </w:rPr>
              <w:t>Tarasoff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decision, the therapist has the duty to warn the stepmother that Jay is a potential threat.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Kurt Lewin, a founder of social psychology, proposed the equation </w:t>
            </w:r>
            <w:r>
              <w:rPr>
                <w:rStyle w:val="DefaultParagraphFont"/>
                <w:rFonts w:ascii="Times New Roman" w:eastAsia="Times New Roman" w:hAnsi="Times New Roman" w:cs="Times New Roman"/>
                <w:b w:val="0"/>
                <w:bCs w:val="0"/>
                <w:i/>
                <w:iCs/>
                <w:smallCaps w:val="0"/>
                <w:color w:val="000000"/>
                <w:sz w:val="22"/>
                <w:szCs w:val="22"/>
                <w:bdr w:val="nil"/>
                <w:rtl w:val="0"/>
              </w:rPr>
              <w:t>B = 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e</w:t>
            </w:r>
            <w:r>
              <w:rPr>
                <w:rStyle w:val="DefaultParagraphFont"/>
                <w:rFonts w:ascii="Times New Roman" w:eastAsia="Times New Roman" w:hAnsi="Times New Roman" w:cs="Times New Roman"/>
                <w:b w:val="0"/>
                <w:bCs w:val="0"/>
                <w:i w:val="0"/>
                <w:iCs w:val="0"/>
                <w:smallCaps w:val="0"/>
                <w:color w:val="000000"/>
                <w:sz w:val="22"/>
                <w:szCs w:val="22"/>
                <w:bdr w:val="nil"/>
                <w:rtl w:val="0"/>
              </w:rPr>
              <w:t>): behavior is a function of the person and the environment. (The Psychological Study of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Gay, lesbian, and transgender troops have served openly in the U. S. military since 2010.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the crime control model, the due process model, favored in the 1990s, seeks the apprehension and punishment of law-breakers.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Supreme Court recognizes that impulsiveness and psychosocial immaturity render juveniles less culpable and more likely to be rehabilitated than adult offenders. (The Principle of Equality)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In determinate sentencing, the offense determines the sentence, and judges and parole commissions have little discretion. (The Value of Discretion)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conflict between the rights of individuals and the rights of society is related to a distinction between two models of the criminal justice system: the due process model and the crime control model. Define and contrast the two models.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p>
                  <w:pPr>
                    <w:bidi w:val="0"/>
                    <w:jc w:val="left"/>
                  </w:pPr>
                  <w:r>
                    <w:rPr>
                      <w:rStyle w:val="DefaultParagraphFont"/>
                      <w:b w:val="0"/>
                      <w:bCs w:val="0"/>
                      <w:i w:val="0"/>
                      <w:iCs w:val="0"/>
                      <w:smallCaps w:val="0"/>
                      <w:color w:val="000000"/>
                      <w:sz w:val="20"/>
                      <w:szCs w:val="20"/>
                      <w:bdr w:val="nil"/>
                      <w:rtl w:val="0"/>
                    </w:rPr>
                    <w:t xml:space="preserve">The values underlying each of these models are legitimate, and the goal of our society is to achieve a balance between them. But because different priorities are important to each model, there is constant tension between them.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The due process model, favored in the 1960s, places primary value on the protection of citizens, including criminal suspects, from possible abuses by the police and the law enforcement system generally. It assumes the innocence of suspects and requires that they be treated fairly (receive “due process”) by the criminal justice system. It subscribes to the maxim that “it is better that ten guilty persons shall go free than that one innocent person should suffer.” Thus the due process model emphasizes the rights of individuals, especially those suspected of crimes, over the temptation by society to assume suspects are guilty even before a trial.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In contrast, the crime control model, favored in the 1990s, seeks the apprehension and punishment of law-breakers. It emphasizes the efficient detection of suspects and the effective prosecution of defendants, to help ensure that criminal activity is being contained or reduced.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kinds of ethical questions that emerge when a psychologist becomes a consultant for one side in the selection of jurors.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p>
                  <w:pPr>
                    <w:bidi w:val="0"/>
                    <w:jc w:val="left"/>
                  </w:pPr>
                  <w:r>
                    <w:rPr>
                      <w:rStyle w:val="DefaultParagraphFont"/>
                      <w:b w:val="0"/>
                      <w:bCs w:val="0"/>
                      <w:i w:val="0"/>
                      <w:iCs w:val="0"/>
                      <w:smallCaps w:val="0"/>
                      <w:color w:val="000000"/>
                      <w:sz w:val="20"/>
                      <w:szCs w:val="20"/>
                      <w:bdr w:val="nil"/>
                      <w:rtl w:val="0"/>
                    </w:rPr>
                    <w:t xml:space="preserve">Many ethical questions emerge when the psychologist becomes a consultant for one side in the selection of jurors. Just how far should the selection procedures go? Should jurors have to answer consultants’ intrusive questions about their private lives? Should consultants be able to sculpt the jury to their clients’ advantage? Do these techniques simply constitute the latest tools in the attorney’s arsenal of trial tactics? Or do they bias the proceedings and jeopardize the willingness of citizens to participate in the process? These questions deal with fairness, and scientific jury selection may conflict with the way some people interpret the intent of the law.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Do you agree that “Conflict resolution” and “truth,” as goals, are not always incompatible? Discuss with reference to the 1996 case of Richard Jewell.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p>
                  <w:pPr>
                    <w:bidi w:val="0"/>
                    <w:jc w:val="left"/>
                  </w:pPr>
                  <w:r>
                    <w:rPr>
                      <w:rStyle w:val="DefaultParagraphFont"/>
                      <w:b w:val="0"/>
                      <w:bCs w:val="0"/>
                      <w:i w:val="0"/>
                      <w:iCs w:val="0"/>
                      <w:smallCaps w:val="0"/>
                      <w:color w:val="000000"/>
                      <w:sz w:val="20"/>
                      <w:szCs w:val="20"/>
                      <w:bdr w:val="nil"/>
                      <w:rtl w:val="0"/>
                    </w:rPr>
                    <w:t xml:space="preserve">“Conflict resolution” and “truth,” as goals, are not always incompatible. When all participants in a legal dispute are able to raise concerns and provide supporting documentation, the goal of learning the truth becomes more attainable. But frequently there is tension between these goals, and in some instances, the satisfactory resolution of a conflict may be socially and morally preferable to discovering an objective truth. Yet resolving conflict in a hurried or haphazard manner can have a downside, as illustrated by the experience of Richard Jewell.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Jewell was a security guard at the 1996 Summer Olympics in Atlanta. Shortly after a bombing that disrupted the Games, the FBI began to question Jewell, who discovered the bomb. Although at first the FBI denied that he was a suspect, they treated him like one, and his name and photograph were widely publicized. The pressure to find the person responsible for this terrifying act—and the desire to give people a sense that no more bombings would occur because the perpetrator had been caught—doubtless influenced the premature focus on Richard Jewell. Despite relentless FBI investigation, no charges were brought against Jewell, and in 2005, Eric Rudolph, a fugitive who lived in the hills of North Carolina for years after the bombing, pleaded guilty of the offense.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state of Louisiana’s dispute with Homer Plessy during the 1890s.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p>
                  <w:pPr>
                    <w:bidi w:val="0"/>
                    <w:jc w:val="left"/>
                  </w:pPr>
                  <w:r>
                    <w:rPr>
                      <w:rStyle w:val="DefaultParagraphFont"/>
                      <w:b w:val="0"/>
                      <w:bCs w:val="0"/>
                      <w:i w:val="0"/>
                      <w:iCs w:val="0"/>
                      <w:smallCaps w:val="0"/>
                      <w:color w:val="000000"/>
                      <w:sz w:val="20"/>
                      <w:szCs w:val="20"/>
                      <w:bdr w:val="nil"/>
                      <w:rtl w:val="0"/>
                    </w:rPr>
                    <w:t xml:space="preserve">During a train trip in Louisiana in the 1890s, Plessy sat down in a “Whites Only” railroad car. Plessy’s ancestry was mostly Caucasian, but he had one Negro great-grandparent. Therefore, according to the laws of Louisiana at that time, Plessy was considered Black. However, he refused to move to a car designated for “colored” passengers, as a recently passed state law required. He took his claim to court, but a New Orleans judge ruled that, contrary to Plessy’s argument, the statute that segregated railroad cars by race did not violate the Fourteenth Amendment to the Constitution. In other words, it did not fail to give Plessy “equal protection under the law.” Plessy persisted in his appeal, and eventually, in 1896, the U.S. Supreme Court upheld the decision of the judge and the lower courts. Judge Henry Billings Brown, speaking for the majority faction of the Supreme Court, declared that laws that had established separate facilities for the races did not necessarily imply that one race was inferior to the other.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kinds of matters that forensic evaluators assess.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p>
                  <w:pPr>
                    <w:bidi w:val="0"/>
                    <w:jc w:val="left"/>
                  </w:pPr>
                  <w:r>
                    <w:rPr>
                      <w:rStyle w:val="DefaultParagraphFont"/>
                      <w:b w:val="0"/>
                      <w:bCs w:val="0"/>
                      <w:i w:val="0"/>
                      <w:iCs w:val="0"/>
                      <w:smallCaps w:val="0"/>
                      <w:color w:val="000000"/>
                      <w:sz w:val="20"/>
                      <w:szCs w:val="20"/>
                      <w:bdr w:val="nil"/>
                      <w:rtl w:val="0"/>
                    </w:rPr>
                    <w:t xml:space="preserve">Forensic evaluators assess matters such as: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The competence of a defendant to proceed with adjudication of charges (often called “competence to stand trial,” although most criminal charges are adjudicated through plea bargaining rather than trial)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The mental state of a defendant at the time of an alleged offense (often called “sanity at the time of the offense”)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The degree of emotional or brain damage suffered by a victim in an accident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The effects on a child of alternative custody arrangements after divorce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The risk of future violent or otherwise criminal behavior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 The prospects for a convicted defendant’s rehabilitation in prison or on probation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what the principle of equality means within the legal system. How does profiling violate that principle?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p>
                  <w:pPr>
                    <w:bidi w:val="0"/>
                    <w:jc w:val="left"/>
                  </w:pPr>
                  <w:r>
                    <w:rPr>
                      <w:rStyle w:val="DefaultParagraphFont"/>
                      <w:b w:val="0"/>
                      <w:bCs w:val="0"/>
                      <w:i w:val="0"/>
                      <w:iCs w:val="0"/>
                      <w:smallCaps w:val="0"/>
                      <w:color w:val="000000"/>
                      <w:sz w:val="20"/>
                      <w:szCs w:val="20"/>
                      <w:bdr w:val="nil"/>
                      <w:rtl w:val="0"/>
                    </w:rPr>
                    <w:t xml:space="preserve">Fundamental to our legal system is the assumption advanced by the founders of the American republic that “all men are created equal.” In fact, the “equal protection clause” of the Fourteenth Amendment states that no state shall “deny to any person within its jurisdiction the equal protection of the laws.” This statement is frequently interpreted to mean that all people should be treated equally and that no one should receive special treatment by the courts simply because he or she is rich, influential, or otherwise advantaged.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But the value of equality before the law is not always implemented. In the last three decades, Americans have witnessed a series of incidents that seemed to indicate unequal treatment of citizens by the legal system. A common practice among police and state patrols in the United States is profiling—viewing certain characteristics as indicators of criminal behavior. African American and Latino motorists have filed numerous lawsuits over the practice of profiling, alleging that the police, in an effort to seize illegal drugs and weapons or to find undocumented immigrants, apply a “race-based profile” to stop and search them more frequently than White drivers.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case of Troy Davis. Define clemency and indicate how this concept is relevant to Davis.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p>
                  <w:pPr>
                    <w:bidi w:val="0"/>
                    <w:jc w:val="left"/>
                  </w:pPr>
                  <w:r>
                    <w:rPr>
                      <w:rStyle w:val="DefaultParagraphFont"/>
                      <w:b w:val="0"/>
                      <w:bCs w:val="0"/>
                      <w:i w:val="0"/>
                      <w:iCs w:val="0"/>
                      <w:smallCaps w:val="0"/>
                      <w:color w:val="000000"/>
                      <w:sz w:val="20"/>
                      <w:szCs w:val="20"/>
                      <w:bdr w:val="nil"/>
                      <w:rtl w:val="0"/>
                    </w:rPr>
                    <w:t xml:space="preserve">Troy Davis was convicted of murder in the 1989 shooting death of off-duty Savannah police officer Mark MacPhail and sentenced to death. Over the course of 20 years, Davis maintained his innocence, and his claim was bolstered by the possible confession of another person and by the recantation of seven eye witnesses who said they lied during Davis’ trial because they were threatened by another suspect. Some jurors who convicted Davis signed affidavits declaring that they doubted his guilt. In Georgia, the authority to commute a death sentence into a less severe sentence rests with the Georgia Board of Pardons and Paroles. (In some states, governors have this discretion.) That board had declined to commute Davis’ sentence once before. With an execution date pending and all other options exhausted, Davis’ attorneys appealed one last time to the five-member board, which conducted a hearing in which they heard from Davis’ attorneys and supporters, and from prosecutors and MacPhail’s relatives. Despite doubts about Davis’ guilt, his surprising assortment of supporters, and petitions, rallies, and vigils held around the world on his behalf, the board denied Davis’ request. He was executed in 2011.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Commuting a death sentence to life imprisonment is a process called clemency. Parole boards also have the opportunity to exercise discretion when they decide whether to commute a death sentence to life imprisonment (a process called granting clemency) or to allow an execution to proceed as planned. The Georgia Board of Pardons and Parole faced that stark choice in 2011 when it had to decide whether death row inmate Troy Davis, who had been convicted for murdering a police officer, should be executed by lethal injection or allowed to live.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role of policy evaluator. Provide examples of the kinds of issues and questions they address and the ethical dilemmas involved.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p>
                  <w:pPr>
                    <w:bidi w:val="0"/>
                    <w:jc w:val="left"/>
                  </w:pPr>
                  <w:r>
                    <w:rPr>
                      <w:rStyle w:val="DefaultParagraphFont"/>
                      <w:b w:val="0"/>
                      <w:bCs w:val="0"/>
                      <w:i w:val="0"/>
                      <w:iCs w:val="0"/>
                      <w:smallCaps w:val="0"/>
                      <w:color w:val="000000"/>
                      <w:sz w:val="20"/>
                      <w:szCs w:val="20"/>
                      <w:bdr w:val="nil"/>
                      <w:rtl w:val="0"/>
                    </w:rPr>
                    <w:t xml:space="preserve">Psychologists and other social scientists have been asked so frequently in the last several decades to conduct evaluation studies that a separate subfield called policy evaluation, or evaluation research, has emerged. The policy evaluator provides data to answer questions such as “I have instituted a policy; how do I know whether it was effective?” Or, more laudably, “I want to make a change in our organization’s procedures, but before I do, how do I design it so I will be able to determine later whether it worked?”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Psychologists working as policy evaluators might be asked whether changing the laws for teen drivers by restricting the number of passengers they can carry will reduce traffic accidents, whether the chemical castration of released rapists will reduce the rate of sexual violence, or whether changing from automobile patrols to foot patrols will improve relations between police and the community. The methodological skills of a psychologist as policy evaluator are essential in assessing existing programs and policies and designing innovations so that their effects can be tested.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Describe the </w:t>
            </w:r>
            <w:r>
              <w:rPr>
                <w:rStyle w:val="DefaultParagraphFont"/>
                <w:rFonts w:ascii="Times New Roman" w:eastAsia="Times New Roman" w:hAnsi="Times New Roman" w:cs="Times New Roman"/>
                <w:b w:val="0"/>
                <w:bCs w:val="0"/>
                <w:i/>
                <w:iCs/>
                <w:smallCaps w:val="0"/>
                <w:color w:val="000000"/>
                <w:sz w:val="22"/>
                <w:szCs w:val="22"/>
                <w:bdr w:val="nil"/>
                <w:rtl w:val="0"/>
              </w:rPr>
              <w:t>Tarasoff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p>
                  <w:pPr>
                    <w:bidi w:val="0"/>
                    <w:jc w:val="left"/>
                  </w:pPr>
                  <w:r>
                    <w:rPr>
                      <w:rStyle w:val="DefaultParagraphFont"/>
                      <w:b w:val="0"/>
                      <w:bCs w:val="0"/>
                      <w:i w:val="0"/>
                      <w:iCs w:val="0"/>
                      <w:smallCaps w:val="0"/>
                      <w:color w:val="000000"/>
                      <w:sz w:val="20"/>
                      <w:szCs w:val="20"/>
                      <w:bdr w:val="nil"/>
                      <w:rtl w:val="0"/>
                    </w:rPr>
                    <w:t xml:space="preserve">Few legal decisions have had as much impact on the practice of psychotherapy as the now-famous case of </w:t>
                  </w:r>
                  <w:r>
                    <w:rPr>
                      <w:rStyle w:val="DefaultParagraphFont"/>
                      <w:b w:val="0"/>
                      <w:bCs w:val="0"/>
                      <w:i/>
                      <w:iCs/>
                      <w:smallCaps w:val="0"/>
                      <w:color w:val="000000"/>
                      <w:sz w:val="20"/>
                      <w:szCs w:val="20"/>
                      <w:bdr w:val="nil"/>
                      <w:rtl w:val="0"/>
                    </w:rPr>
                    <w:t>Tarasoff v. Regents of the University of California</w:t>
                  </w:r>
                  <w:r>
                    <w:rPr>
                      <w:rStyle w:val="DefaultParagraphFont"/>
                      <w:b w:val="0"/>
                      <w:bCs w:val="0"/>
                      <w:i w:val="0"/>
                      <w:iCs w:val="0"/>
                      <w:smallCaps w:val="0"/>
                      <w:color w:val="000000"/>
                      <w:sz w:val="20"/>
                      <w:szCs w:val="20"/>
                      <w:bdr w:val="nil"/>
                      <w:rtl w:val="0"/>
                    </w:rPr>
                    <w:t xml:space="preserve">. The decision focuses on the duties required of psychotherapists whose clients threaten violence to identifiable others.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Prosenjit Poddar was a graduate student at the University of California who became infatuated with Tatiana Tarasoff. Poddar was inexperienced in romantic relationships and was confused about Tatiana’s on-again–off-again behavior; she was friendly toward him one day but avoided him completely the next night. After Poddar became a client of a psychologist at the university counseling center, he confided that he intended to kill a girl who had rebuffed him. The psychologist told his supervisor of this threat and then called the campus police, requesting that they detain Poddar. They did so but soon released him, believing his promise that he would stay away from Tatiana, who was out of the country at the time. Poddar didn’t keep his promise. Two months later, he went to Tatiana’s home and stabbed her to death. He was eventually convicted of murder.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0"/>
                      <w:szCs w:val="20"/>
                      <w:bdr w:val="nil"/>
                      <w:rtl w:val="0"/>
                    </w:rPr>
                    <w:t xml:space="preserve">Tatiana Tarasoff’s parents sued the university, the psychologists, and the campus police for failing to warn them or their daughter about Poddar’s threats. The California Supreme Court ruled in the parents’ favor by deciding that the university had been negligent. The first </w:t>
                  </w:r>
                  <w:r>
                    <w:rPr>
                      <w:rStyle w:val="DefaultParagraphFont"/>
                      <w:b w:val="0"/>
                      <w:bCs w:val="0"/>
                      <w:i/>
                      <w:iCs/>
                      <w:smallCaps w:val="0"/>
                      <w:color w:val="000000"/>
                      <w:sz w:val="20"/>
                      <w:szCs w:val="20"/>
                      <w:bdr w:val="nil"/>
                      <w:rtl w:val="0"/>
                    </w:rPr>
                    <w:t>Tarasoff</w:t>
                  </w:r>
                  <w:r>
                    <w:rPr>
                      <w:rStyle w:val="DefaultParagraphFont"/>
                      <w:b w:val="0"/>
                      <w:bCs w:val="0"/>
                      <w:i w:val="0"/>
                      <w:iCs w:val="0"/>
                      <w:smallCaps w:val="0"/>
                      <w:color w:val="000000"/>
                      <w:sz w:val="20"/>
                      <w:szCs w:val="20"/>
                      <w:bdr w:val="nil"/>
                      <w:rtl w:val="0"/>
                    </w:rPr>
                    <w:t xml:space="preserve"> decision (1974) established a duty on psychotherapists to warn the victims of therapy patients when the therapist “knows or should have known” that the patient presented a threat to that victim. The court established a standard that therapists have a duty to use “reasonable care” to protect identifiable potential victims from clients in psychotherapy who threaten violence. A second </w:t>
                  </w:r>
                  <w:r>
                    <w:rPr>
                      <w:rStyle w:val="DefaultParagraphFont"/>
                      <w:b w:val="0"/>
                      <w:bCs w:val="0"/>
                      <w:i/>
                      <w:iCs/>
                      <w:smallCaps w:val="0"/>
                      <w:color w:val="000000"/>
                      <w:sz w:val="20"/>
                      <w:szCs w:val="20"/>
                      <w:bdr w:val="nil"/>
                      <w:rtl w:val="0"/>
                    </w:rPr>
                    <w:t>Tarasoff</w:t>
                  </w:r>
                  <w:r>
                    <w:rPr>
                      <w:rStyle w:val="DefaultParagraphFont"/>
                      <w:b w:val="0"/>
                      <w:bCs w:val="0"/>
                      <w:i w:val="0"/>
                      <w:iCs w:val="0"/>
                      <w:smallCaps w:val="0"/>
                      <w:color w:val="000000"/>
                      <w:sz w:val="20"/>
                      <w:szCs w:val="20"/>
                      <w:bdr w:val="nil"/>
                      <w:rtl w:val="0"/>
                    </w:rPr>
                    <w:t xml:space="preserve"> decision in 1976 broadened this duty to include the protection of third parties from patient violence. Courts in several other states have extended this duty to the protection of property and the protection of all foreseeable victims, not just identifiable ones. The </w:t>
                  </w:r>
                  <w:r>
                    <w:rPr>
                      <w:rStyle w:val="DefaultParagraphFont"/>
                      <w:b w:val="0"/>
                      <w:bCs w:val="0"/>
                      <w:i/>
                      <w:iCs/>
                      <w:smallCaps w:val="0"/>
                      <w:color w:val="000000"/>
                      <w:sz w:val="20"/>
                      <w:szCs w:val="20"/>
                      <w:bdr w:val="nil"/>
                      <w:rtl w:val="0"/>
                    </w:rPr>
                    <w:t>Tarasoff</w:t>
                  </w:r>
                  <w:r>
                    <w:rPr>
                      <w:rStyle w:val="DefaultParagraphFont"/>
                      <w:b w:val="0"/>
                      <w:bCs w:val="0"/>
                      <w:i w:val="0"/>
                      <w:iCs w:val="0"/>
                      <w:smallCaps w:val="0"/>
                      <w:color w:val="000000"/>
                      <w:sz w:val="20"/>
                      <w:szCs w:val="20"/>
                      <w:bdr w:val="nil"/>
                      <w:rtl w:val="0"/>
                    </w:rPr>
                    <w:t xml:space="preserve"> case still governs psychologists’ conduct in multiple states. Many psychologists feel caught in a no-win situation: They can be held responsible for their clients’ violence if they do not warn potential victims, but they can also be held responsible for breaching their clients’ confidentiality if they do. </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